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453" w:rsidRDefault="00395453"/>
    <w:p w:rsidR="00E63F8C" w:rsidRDefault="00E63F8C"/>
    <w:p w:rsidR="00E63F8C" w:rsidRPr="0042514D" w:rsidRDefault="00E63F8C">
      <w:pPr>
        <w:rPr>
          <w:b/>
          <w:sz w:val="32"/>
          <w:szCs w:val="32"/>
        </w:rPr>
      </w:pPr>
      <w:r w:rsidRPr="0042514D">
        <w:rPr>
          <w:b/>
          <w:sz w:val="32"/>
          <w:szCs w:val="32"/>
        </w:rPr>
        <w:t>Steve Thomas Seminars</w:t>
      </w:r>
      <w:r w:rsidR="0042514D">
        <w:rPr>
          <w:b/>
          <w:sz w:val="32"/>
          <w:szCs w:val="32"/>
        </w:rPr>
        <w:t xml:space="preserve"> – Registration Coming Soon!</w:t>
      </w:r>
      <w:bookmarkStart w:id="0" w:name="_GoBack"/>
      <w:bookmarkEnd w:id="0"/>
    </w:p>
    <w:p w:rsidR="00E63F8C" w:rsidRDefault="00E63F8C">
      <w:pPr>
        <w:rPr>
          <w:sz w:val="28"/>
          <w:szCs w:val="28"/>
        </w:rPr>
      </w:pPr>
    </w:p>
    <w:p w:rsidR="00E63F8C" w:rsidRPr="00E63F8C" w:rsidRDefault="00E63F8C" w:rsidP="00E63F8C">
      <w:pPr>
        <w:rPr>
          <w:rFonts w:asciiTheme="majorHAnsi" w:hAnsiTheme="majorHAnsi" w:cstheme="majorHAnsi"/>
          <w:b/>
          <w:color w:val="1F497D"/>
          <w:sz w:val="28"/>
          <w:szCs w:val="28"/>
        </w:rPr>
      </w:pPr>
      <w:r w:rsidRPr="00E63F8C">
        <w:rPr>
          <w:rFonts w:asciiTheme="majorHAnsi" w:hAnsiTheme="majorHAnsi" w:cstheme="majorHAnsi"/>
          <w:b/>
          <w:color w:val="1F497D"/>
          <w:sz w:val="28"/>
          <w:szCs w:val="28"/>
        </w:rPr>
        <w:t>Tuesday, May 29</w:t>
      </w:r>
      <w:r w:rsidRPr="00E63F8C">
        <w:rPr>
          <w:rFonts w:asciiTheme="majorHAnsi" w:hAnsiTheme="majorHAnsi" w:cstheme="majorHAnsi"/>
          <w:b/>
          <w:color w:val="1F497D"/>
          <w:sz w:val="28"/>
          <w:szCs w:val="28"/>
          <w:vertAlign w:val="superscript"/>
        </w:rPr>
        <w:t>th</w:t>
      </w:r>
      <w:r w:rsidRPr="00E63F8C">
        <w:rPr>
          <w:rFonts w:asciiTheme="majorHAnsi" w:hAnsiTheme="majorHAnsi" w:cstheme="majorHAnsi"/>
          <w:b/>
          <w:color w:val="1F497D"/>
          <w:sz w:val="28"/>
          <w:szCs w:val="28"/>
        </w:rPr>
        <w:t xml:space="preserve"> – Advanced Exiting</w:t>
      </w:r>
    </w:p>
    <w:p w:rsidR="00E63F8C" w:rsidRPr="00E63F8C" w:rsidRDefault="00E63F8C" w:rsidP="00E63F8C">
      <w:pPr>
        <w:rPr>
          <w:rFonts w:asciiTheme="majorHAnsi" w:hAnsiTheme="majorHAnsi" w:cstheme="majorHAnsi"/>
          <w:sz w:val="24"/>
          <w:szCs w:val="24"/>
        </w:rPr>
      </w:pPr>
      <w:r w:rsidRPr="00E63F8C">
        <w:rPr>
          <w:rFonts w:asciiTheme="majorHAnsi" w:hAnsiTheme="majorHAnsi" w:cstheme="majorHAnsi"/>
          <w:sz w:val="24"/>
          <w:szCs w:val="24"/>
        </w:rPr>
        <w:t>An advanced look at the means of egress requirements included in Chapter 10 of the International Building Code. The presentation will include detailed discussions on the design and review of the means of egress in unusual occupancies. Subjects included in the class are malls, assembly occupancies, special egress components, smoke proof enclosures, horizontal exits and exit passageways. Practical examples will be used to illustrate code requirements.  This class is designed for those students that have a basic understanding of how the means of egress is designed and reviewed.</w:t>
      </w:r>
    </w:p>
    <w:p w:rsidR="00E63F8C" w:rsidRPr="00E63F8C" w:rsidRDefault="00E63F8C" w:rsidP="00E63F8C">
      <w:pPr>
        <w:rPr>
          <w:rFonts w:asciiTheme="majorHAnsi" w:hAnsiTheme="majorHAnsi" w:cstheme="majorHAnsi"/>
          <w:color w:val="1F497D"/>
          <w:sz w:val="24"/>
          <w:szCs w:val="24"/>
        </w:rPr>
      </w:pPr>
    </w:p>
    <w:p w:rsidR="00E63F8C" w:rsidRPr="00E63F8C" w:rsidRDefault="00E63F8C" w:rsidP="00E63F8C">
      <w:pPr>
        <w:rPr>
          <w:rFonts w:asciiTheme="majorHAnsi" w:hAnsiTheme="majorHAnsi" w:cstheme="majorHAnsi"/>
          <w:b/>
          <w:color w:val="1F497D"/>
          <w:sz w:val="28"/>
          <w:szCs w:val="28"/>
        </w:rPr>
      </w:pPr>
      <w:r w:rsidRPr="00E63F8C">
        <w:rPr>
          <w:rFonts w:asciiTheme="majorHAnsi" w:hAnsiTheme="majorHAnsi" w:cstheme="majorHAnsi"/>
          <w:b/>
          <w:color w:val="1F497D"/>
          <w:sz w:val="28"/>
          <w:szCs w:val="28"/>
        </w:rPr>
        <w:t>Wednesday, May 30</w:t>
      </w:r>
      <w:r w:rsidRPr="00E63F8C">
        <w:rPr>
          <w:rFonts w:asciiTheme="majorHAnsi" w:hAnsiTheme="majorHAnsi" w:cstheme="majorHAnsi"/>
          <w:b/>
          <w:color w:val="1F497D"/>
          <w:sz w:val="28"/>
          <w:szCs w:val="28"/>
          <w:vertAlign w:val="superscript"/>
        </w:rPr>
        <w:t>th</w:t>
      </w:r>
      <w:r w:rsidRPr="00E63F8C">
        <w:rPr>
          <w:rFonts w:asciiTheme="majorHAnsi" w:hAnsiTheme="majorHAnsi" w:cstheme="majorHAnsi"/>
          <w:b/>
          <w:color w:val="1F497D"/>
          <w:sz w:val="28"/>
          <w:szCs w:val="28"/>
        </w:rPr>
        <w:t xml:space="preserve"> – Beginning Commercial Building Inspections</w:t>
      </w:r>
    </w:p>
    <w:p w:rsidR="00E63F8C" w:rsidRPr="00E63F8C" w:rsidRDefault="00E63F8C" w:rsidP="00E63F8C">
      <w:pPr>
        <w:rPr>
          <w:rFonts w:asciiTheme="majorHAnsi" w:hAnsiTheme="majorHAnsi" w:cstheme="majorHAnsi"/>
          <w:sz w:val="24"/>
          <w:szCs w:val="24"/>
        </w:rPr>
      </w:pPr>
      <w:r w:rsidRPr="00E63F8C">
        <w:rPr>
          <w:rFonts w:asciiTheme="majorHAnsi" w:hAnsiTheme="majorHAnsi" w:cstheme="majorHAnsi"/>
          <w:sz w:val="24"/>
          <w:szCs w:val="24"/>
        </w:rPr>
        <w:t xml:space="preserve">This full day class is designed for residential inspectors that are moving into the area of commercial inspections. The class will briefly discuss the preparation and tools needed to conduct an inspection and the interaction between the inspector and contractor. </w:t>
      </w:r>
      <w:proofErr w:type="gramStart"/>
      <w:r w:rsidRPr="00E63F8C">
        <w:rPr>
          <w:rFonts w:asciiTheme="majorHAnsi" w:hAnsiTheme="majorHAnsi" w:cstheme="majorHAnsi"/>
          <w:sz w:val="24"/>
          <w:szCs w:val="24"/>
        </w:rPr>
        <w:t>The majority of</w:t>
      </w:r>
      <w:proofErr w:type="gramEnd"/>
      <w:r w:rsidRPr="00E63F8C">
        <w:rPr>
          <w:rFonts w:asciiTheme="majorHAnsi" w:hAnsiTheme="majorHAnsi" w:cstheme="majorHAnsi"/>
          <w:sz w:val="24"/>
          <w:szCs w:val="24"/>
        </w:rPr>
        <w:t xml:space="preserve"> the class will focus on the technique and technical aspects of commercial building inspections. Subjects discussed in the class will include foundations, wood framing, light-gauge steel framing, fire-resistive rated construction, means of egress and accessibility.</w:t>
      </w:r>
    </w:p>
    <w:p w:rsidR="00E63F8C" w:rsidRPr="00E63F8C" w:rsidRDefault="00E63F8C" w:rsidP="00E63F8C">
      <w:pPr>
        <w:rPr>
          <w:rFonts w:asciiTheme="majorHAnsi" w:hAnsiTheme="majorHAnsi" w:cstheme="majorHAnsi"/>
          <w:color w:val="1F497D"/>
          <w:sz w:val="24"/>
          <w:szCs w:val="24"/>
        </w:rPr>
      </w:pPr>
    </w:p>
    <w:p w:rsidR="00E63F8C" w:rsidRPr="00E63F8C" w:rsidRDefault="00E63F8C" w:rsidP="00E63F8C">
      <w:pPr>
        <w:rPr>
          <w:rFonts w:asciiTheme="majorHAnsi" w:hAnsiTheme="majorHAnsi" w:cstheme="majorHAnsi"/>
          <w:b/>
          <w:color w:val="1F497D"/>
          <w:sz w:val="28"/>
          <w:szCs w:val="28"/>
        </w:rPr>
      </w:pPr>
      <w:r w:rsidRPr="00E63F8C">
        <w:rPr>
          <w:rFonts w:asciiTheme="majorHAnsi" w:hAnsiTheme="majorHAnsi" w:cstheme="majorHAnsi"/>
          <w:b/>
          <w:color w:val="1F497D"/>
          <w:sz w:val="28"/>
          <w:szCs w:val="28"/>
        </w:rPr>
        <w:t>Thursday, May 31</w:t>
      </w:r>
      <w:r w:rsidRPr="00E63F8C">
        <w:rPr>
          <w:rFonts w:asciiTheme="majorHAnsi" w:hAnsiTheme="majorHAnsi" w:cstheme="majorHAnsi"/>
          <w:b/>
          <w:color w:val="1F497D"/>
          <w:sz w:val="28"/>
          <w:szCs w:val="28"/>
          <w:vertAlign w:val="superscript"/>
        </w:rPr>
        <w:t>st</w:t>
      </w:r>
      <w:r w:rsidRPr="00E63F8C">
        <w:rPr>
          <w:rFonts w:asciiTheme="majorHAnsi" w:hAnsiTheme="majorHAnsi" w:cstheme="majorHAnsi"/>
          <w:b/>
          <w:color w:val="1F497D"/>
          <w:sz w:val="28"/>
          <w:szCs w:val="28"/>
        </w:rPr>
        <w:t xml:space="preserve"> – International Existing Building Code Overview</w:t>
      </w:r>
    </w:p>
    <w:p w:rsidR="00E63F8C" w:rsidRPr="00E63F8C" w:rsidRDefault="00E63F8C" w:rsidP="00E63F8C">
      <w:pPr>
        <w:rPr>
          <w:rFonts w:asciiTheme="majorHAnsi" w:hAnsiTheme="majorHAnsi" w:cstheme="majorHAnsi"/>
          <w:sz w:val="24"/>
          <w:szCs w:val="24"/>
        </w:rPr>
      </w:pPr>
      <w:r w:rsidRPr="00E63F8C">
        <w:rPr>
          <w:rFonts w:asciiTheme="majorHAnsi" w:hAnsiTheme="majorHAnsi" w:cstheme="majorHAnsi"/>
          <w:sz w:val="24"/>
          <w:szCs w:val="24"/>
        </w:rPr>
        <w:t>This one-day seminar addresses the relationship of the International Existing Building Code to existing buildings. The seminar focuses on the fundamental requirements on an existing structure that undergoes repair work, alteration, renovation activity or construction of an addition, and the effect of a change in the building’s occupancy classification. Discussion will also include the “Performance Compliance Alternatives” method of evaluating a building.</w:t>
      </w:r>
    </w:p>
    <w:p w:rsidR="00E63F8C" w:rsidRPr="00E63F8C" w:rsidRDefault="00E63F8C" w:rsidP="00E63F8C">
      <w:pPr>
        <w:rPr>
          <w:rFonts w:asciiTheme="majorHAnsi" w:hAnsiTheme="majorHAnsi" w:cstheme="majorHAnsi"/>
          <w:color w:val="1F497D"/>
          <w:sz w:val="24"/>
          <w:szCs w:val="24"/>
        </w:rPr>
      </w:pPr>
    </w:p>
    <w:p w:rsidR="00E63F8C" w:rsidRPr="00E63F8C" w:rsidRDefault="00E63F8C" w:rsidP="00E63F8C">
      <w:pPr>
        <w:rPr>
          <w:rFonts w:asciiTheme="majorHAnsi" w:hAnsiTheme="majorHAnsi" w:cstheme="majorHAnsi"/>
          <w:b/>
          <w:color w:val="1F497D"/>
          <w:sz w:val="28"/>
          <w:szCs w:val="28"/>
        </w:rPr>
      </w:pPr>
      <w:r w:rsidRPr="00E63F8C">
        <w:rPr>
          <w:rFonts w:asciiTheme="majorHAnsi" w:hAnsiTheme="majorHAnsi" w:cstheme="majorHAnsi"/>
          <w:b/>
          <w:color w:val="1F497D"/>
          <w:sz w:val="28"/>
          <w:szCs w:val="28"/>
        </w:rPr>
        <w:t>Friday, June 1</w:t>
      </w:r>
      <w:r w:rsidRPr="00E63F8C">
        <w:rPr>
          <w:rFonts w:asciiTheme="majorHAnsi" w:hAnsiTheme="majorHAnsi" w:cstheme="majorHAnsi"/>
          <w:b/>
          <w:color w:val="1F497D"/>
          <w:sz w:val="28"/>
          <w:szCs w:val="28"/>
          <w:vertAlign w:val="superscript"/>
        </w:rPr>
        <w:t>st</w:t>
      </w:r>
      <w:r w:rsidRPr="00E63F8C">
        <w:rPr>
          <w:rFonts w:asciiTheme="majorHAnsi" w:hAnsiTheme="majorHAnsi" w:cstheme="majorHAnsi"/>
          <w:b/>
          <w:color w:val="1F497D"/>
          <w:sz w:val="28"/>
          <w:szCs w:val="28"/>
        </w:rPr>
        <w:t xml:space="preserve"> – Alternate Materials and Methods of Construction</w:t>
      </w:r>
    </w:p>
    <w:p w:rsidR="00E63F8C" w:rsidRPr="00E63F8C" w:rsidRDefault="00E63F8C" w:rsidP="00E63F8C">
      <w:pPr>
        <w:rPr>
          <w:rFonts w:asciiTheme="majorHAnsi" w:hAnsiTheme="majorHAnsi" w:cstheme="majorHAnsi"/>
          <w:sz w:val="24"/>
          <w:szCs w:val="24"/>
        </w:rPr>
      </w:pPr>
      <w:r w:rsidRPr="00E63F8C">
        <w:rPr>
          <w:rFonts w:asciiTheme="majorHAnsi" w:hAnsiTheme="majorHAnsi" w:cstheme="majorHAnsi"/>
          <w:sz w:val="24"/>
          <w:szCs w:val="24"/>
        </w:rPr>
        <w:t xml:space="preserve">This class reviews the use of the alternate materials and methods requirements of the codes. The class will review the use of ICC evaluation reports when using the International Building Code. </w:t>
      </w:r>
      <w:proofErr w:type="gramStart"/>
      <w:r w:rsidRPr="00E63F8C">
        <w:rPr>
          <w:rFonts w:asciiTheme="majorHAnsi" w:hAnsiTheme="majorHAnsi" w:cstheme="majorHAnsi"/>
          <w:sz w:val="24"/>
          <w:szCs w:val="24"/>
        </w:rPr>
        <w:t>Different types</w:t>
      </w:r>
      <w:proofErr w:type="gramEnd"/>
      <w:r w:rsidRPr="00E63F8C">
        <w:rPr>
          <w:rFonts w:asciiTheme="majorHAnsi" w:hAnsiTheme="majorHAnsi" w:cstheme="majorHAnsi"/>
          <w:sz w:val="24"/>
          <w:szCs w:val="24"/>
        </w:rPr>
        <w:t xml:space="preserve"> of materials and methods will be discussed. Examples of how those materials and methods should be evaluated will be provided to attendees will have a better understanding of how to review or submit alternates.</w:t>
      </w:r>
    </w:p>
    <w:p w:rsidR="00E63F8C" w:rsidRPr="00E63F8C" w:rsidRDefault="00E63F8C" w:rsidP="00E63F8C">
      <w:pPr>
        <w:rPr>
          <w:rFonts w:asciiTheme="majorHAnsi" w:hAnsiTheme="majorHAnsi" w:cstheme="majorHAnsi"/>
          <w:color w:val="1F497D"/>
          <w:sz w:val="24"/>
          <w:szCs w:val="24"/>
        </w:rPr>
      </w:pPr>
    </w:p>
    <w:p w:rsidR="00E63F8C" w:rsidRDefault="00E63F8C"/>
    <w:sectPr w:rsidR="00E63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F8C"/>
    <w:rsid w:val="00395453"/>
    <w:rsid w:val="0042514D"/>
    <w:rsid w:val="009C403E"/>
    <w:rsid w:val="00E6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91FFE"/>
  <w15:chartTrackingRefBased/>
  <w15:docId w15:val="{B5BD52E4-2FFA-4B3A-9B60-DB2E08DD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F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49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Michele R.</dc:creator>
  <cp:keywords/>
  <dc:description/>
  <cp:lastModifiedBy>Miller, Michele R.</cp:lastModifiedBy>
  <cp:revision>1</cp:revision>
  <dcterms:created xsi:type="dcterms:W3CDTF">2018-04-05T16:10:00Z</dcterms:created>
  <dcterms:modified xsi:type="dcterms:W3CDTF">2018-04-05T16:24:00Z</dcterms:modified>
</cp:coreProperties>
</file>